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3148" w14:textId="77777777" w:rsidR="007E062E" w:rsidRPr="00B340AE" w:rsidRDefault="007E062E" w:rsidP="007E062E">
      <w:pPr>
        <w:jc w:val="center"/>
        <w:rPr>
          <w:rFonts w:ascii="Arial" w:hAnsi="Arial" w:cs="Arial"/>
          <w:b/>
        </w:rPr>
      </w:pPr>
      <w:r>
        <w:rPr>
          <w:rFonts w:ascii="Arial" w:hAnsi="Arial"/>
          <w:b/>
          <w:noProof/>
          <w:lang w:val="lt-LT" w:eastAsia="lt-LT"/>
        </w:rPr>
        <w:drawing>
          <wp:inline distT="0" distB="0" distL="0" distR="0" wp14:anchorId="339E2A37" wp14:editId="55C65EB0">
            <wp:extent cx="2604135" cy="965835"/>
            <wp:effectExtent l="0" t="0" r="5715" b="5715"/>
            <wp:docPr id="1" name="Picture 1" descr="OL_logo_basic_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_logo_basic_w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04135" cy="965835"/>
                    </a:xfrm>
                    <a:prstGeom prst="rect">
                      <a:avLst/>
                    </a:prstGeom>
                    <a:noFill/>
                    <a:ln>
                      <a:noFill/>
                    </a:ln>
                  </pic:spPr>
                </pic:pic>
              </a:graphicData>
            </a:graphic>
          </wp:inline>
        </w:drawing>
      </w:r>
    </w:p>
    <w:p w14:paraId="16CE7FFC" w14:textId="77777777" w:rsidR="007E062E" w:rsidRPr="00B340AE" w:rsidRDefault="007E062E" w:rsidP="007E062E">
      <w:pPr>
        <w:spacing w:after="120"/>
        <w:jc w:val="center"/>
        <w:rPr>
          <w:rFonts w:ascii="Arial" w:hAnsi="Arial" w:cs="Arial"/>
          <w:b/>
        </w:rPr>
      </w:pPr>
      <w:r>
        <w:rPr>
          <w:rFonts w:ascii="Arial" w:hAnsi="Arial"/>
          <w:b/>
        </w:rPr>
        <w:t>AB ORLEN LIETUVA</w:t>
      </w:r>
    </w:p>
    <w:p w14:paraId="0B109E72" w14:textId="77777777" w:rsidR="007E062E" w:rsidRPr="00496D44" w:rsidRDefault="007E062E" w:rsidP="007E062E">
      <w:pPr>
        <w:spacing w:after="120"/>
        <w:jc w:val="center"/>
        <w:rPr>
          <w:rFonts w:ascii="Arial" w:hAnsi="Arial" w:cs="Arial"/>
          <w:b/>
          <w:color w:val="000000" w:themeColor="text1"/>
        </w:rPr>
      </w:pPr>
    </w:p>
    <w:p w14:paraId="179B4239" w14:textId="77777777" w:rsidR="007E062E" w:rsidRPr="00496D44" w:rsidRDefault="007E062E" w:rsidP="007E062E">
      <w:pPr>
        <w:spacing w:after="120"/>
        <w:jc w:val="center"/>
        <w:rPr>
          <w:rFonts w:ascii="Arial" w:hAnsi="Arial" w:cs="Arial"/>
          <w:b/>
          <w:color w:val="000000" w:themeColor="text1"/>
        </w:rPr>
      </w:pPr>
      <w:r>
        <w:rPr>
          <w:rFonts w:ascii="Arial" w:hAnsi="Arial"/>
          <w:b/>
          <w:color w:val="000000" w:themeColor="text1"/>
        </w:rPr>
        <w:t>SCOPE OF WORK AND REQUIREMENTS</w:t>
      </w:r>
    </w:p>
    <w:p w14:paraId="3A485122" w14:textId="5CC223ED" w:rsidR="007E062E" w:rsidRPr="00496D44" w:rsidRDefault="007E062E" w:rsidP="007E062E">
      <w:pPr>
        <w:spacing w:after="120"/>
        <w:jc w:val="center"/>
        <w:rPr>
          <w:rFonts w:ascii="Arial" w:hAnsi="Arial" w:cs="Arial"/>
          <w:b/>
          <w:color w:val="000000" w:themeColor="text1"/>
        </w:rPr>
      </w:pPr>
      <w:r>
        <w:rPr>
          <w:rFonts w:ascii="Arial" w:hAnsi="Arial"/>
          <w:b/>
          <w:color w:val="000000" w:themeColor="text1"/>
        </w:rPr>
        <w:t>FOR FEASIBILITY STUDY O</w:t>
      </w:r>
      <w:r w:rsidR="006A5EA6">
        <w:rPr>
          <w:rFonts w:ascii="Arial" w:hAnsi="Arial"/>
          <w:b/>
          <w:color w:val="000000" w:themeColor="text1"/>
        </w:rPr>
        <w:t>F</w:t>
      </w:r>
      <w:r>
        <w:rPr>
          <w:rFonts w:ascii="Arial" w:hAnsi="Arial"/>
          <w:b/>
          <w:color w:val="000000" w:themeColor="text1"/>
        </w:rPr>
        <w:t xml:space="preserve"> INSTALLATION OF BATTERY ENERGY STORAGE SYSTEM (BESS) IN SOLAR FARM OF AB ORLEN LIETUVA</w:t>
      </w:r>
    </w:p>
    <w:p w14:paraId="31AC1A5E" w14:textId="2DC827DE" w:rsidR="00CB1A1F" w:rsidRPr="00496D44" w:rsidRDefault="008F58D1" w:rsidP="00CB1A1F">
      <w:pPr>
        <w:spacing w:after="0"/>
        <w:jc w:val="center"/>
        <w:rPr>
          <w:rFonts w:ascii="Arial" w:hAnsi="Arial" w:cs="Arial"/>
          <w:color w:val="000000" w:themeColor="text1"/>
        </w:rPr>
      </w:pPr>
      <w:r>
        <w:rPr>
          <w:rFonts w:ascii="Arial" w:hAnsi="Arial"/>
          <w:color w:val="000000" w:themeColor="text1"/>
        </w:rPr>
        <w:t>02</w:t>
      </w:r>
      <w:r w:rsidR="00DB59C6">
        <w:rPr>
          <w:rFonts w:ascii="Arial" w:hAnsi="Arial"/>
          <w:color w:val="000000" w:themeColor="text1"/>
        </w:rPr>
        <w:t xml:space="preserve"> March</w:t>
      </w:r>
      <w:r w:rsidR="00496D44">
        <w:rPr>
          <w:rFonts w:ascii="Arial" w:hAnsi="Arial"/>
          <w:color w:val="000000" w:themeColor="text1"/>
        </w:rPr>
        <w:t xml:space="preserve"> 2026</w:t>
      </w:r>
    </w:p>
    <w:p w14:paraId="327C600A" w14:textId="77777777" w:rsidR="007E062E" w:rsidRPr="00496D44" w:rsidRDefault="007E062E" w:rsidP="007E062E">
      <w:pPr>
        <w:spacing w:after="240"/>
        <w:jc w:val="center"/>
        <w:rPr>
          <w:rFonts w:ascii="Arial" w:hAnsi="Arial" w:cs="Arial"/>
          <w:color w:val="000000" w:themeColor="text1"/>
        </w:rPr>
      </w:pPr>
      <w:r>
        <w:rPr>
          <w:rFonts w:ascii="Arial" w:hAnsi="Arial"/>
          <w:color w:val="000000" w:themeColor="text1"/>
        </w:rPr>
        <w:t>Juodeikiai Vill., Mažeikiai Distr. Municipality</w:t>
      </w:r>
    </w:p>
    <w:p w14:paraId="687D3BF1" w14:textId="77777777" w:rsidR="006F6B49" w:rsidRPr="00496D44" w:rsidRDefault="006F6B49" w:rsidP="006F6B49">
      <w:pPr>
        <w:pStyle w:val="Heading2"/>
        <w:jc w:val="both"/>
        <w:rPr>
          <w:rFonts w:ascii="Arial" w:hAnsi="Arial" w:cs="Arial"/>
          <w:color w:val="000000" w:themeColor="text1"/>
          <w:sz w:val="22"/>
          <w:szCs w:val="22"/>
        </w:rPr>
      </w:pPr>
      <w:r>
        <w:rPr>
          <w:rFonts w:ascii="Arial" w:hAnsi="Arial"/>
          <w:color w:val="000000" w:themeColor="text1"/>
          <w:sz w:val="22"/>
        </w:rPr>
        <w:t>1. Description</w:t>
      </w:r>
    </w:p>
    <w:p w14:paraId="2771845D" w14:textId="77777777" w:rsidR="000D0144" w:rsidRPr="00496D44" w:rsidRDefault="006F6B49" w:rsidP="00BF58D0">
      <w:pPr>
        <w:spacing w:after="120"/>
        <w:jc w:val="both"/>
        <w:rPr>
          <w:rFonts w:ascii="Arial" w:hAnsi="Arial" w:cs="Arial"/>
          <w:color w:val="000000" w:themeColor="text1"/>
        </w:rPr>
      </w:pPr>
      <w:r>
        <w:rPr>
          <w:rFonts w:ascii="Arial" w:hAnsi="Arial"/>
          <w:color w:val="000000" w:themeColor="text1"/>
        </w:rPr>
        <w:t>Crude oil refinery of AB ORLEN Lietuva (hereinafter, the Owner, OL) is equipped with:</w:t>
      </w:r>
    </w:p>
    <w:p w14:paraId="48EFA845" w14:textId="77777777" w:rsidR="000D0144" w:rsidRPr="00496D44" w:rsidRDefault="000D0144" w:rsidP="000D0144">
      <w:pPr>
        <w:pStyle w:val="ListBullet"/>
        <w:rPr>
          <w:rFonts w:ascii="Arial" w:hAnsi="Arial" w:cs="Arial"/>
          <w:color w:val="000000" w:themeColor="text1"/>
        </w:rPr>
      </w:pPr>
      <w:r>
        <w:rPr>
          <w:rFonts w:ascii="Arial" w:hAnsi="Arial"/>
          <w:color w:val="000000" w:themeColor="text1"/>
        </w:rPr>
        <w:t>Two steam turbines, 80 MW each;</w:t>
      </w:r>
    </w:p>
    <w:p w14:paraId="2D1739A8" w14:textId="77777777" w:rsidR="006F6B49" w:rsidRPr="00496D44" w:rsidRDefault="006F6B49" w:rsidP="000D0144">
      <w:pPr>
        <w:pStyle w:val="ListBullet"/>
        <w:rPr>
          <w:rFonts w:ascii="Arial" w:hAnsi="Arial" w:cs="Arial"/>
          <w:color w:val="000000" w:themeColor="text1"/>
        </w:rPr>
      </w:pPr>
      <w:r>
        <w:rPr>
          <w:rFonts w:ascii="Arial" w:hAnsi="Arial"/>
          <w:color w:val="000000" w:themeColor="text1"/>
        </w:rPr>
        <w:t>Four solar farms within OL with total nominal capacity of 42.2 MWp. This total capacity is distributed across four solar farms as follows: SE-1 – 29.98 MWp, SE-2 – 4.64 MWp, SE-3 – 2.8 MWp, SE-4 – 4.99 MWp.</w:t>
      </w:r>
    </w:p>
    <w:p w14:paraId="6F0BACA8" w14:textId="77777777" w:rsidR="006F6B49" w:rsidRPr="00496D44" w:rsidRDefault="006F6B49" w:rsidP="00BF58D0">
      <w:pPr>
        <w:spacing w:after="120"/>
        <w:jc w:val="both"/>
        <w:rPr>
          <w:rFonts w:ascii="Arial" w:hAnsi="Arial" w:cs="Arial"/>
          <w:color w:val="000000" w:themeColor="text1"/>
        </w:rPr>
      </w:pPr>
      <w:r>
        <w:rPr>
          <w:rFonts w:ascii="Arial" w:hAnsi="Arial"/>
          <w:color w:val="000000" w:themeColor="text1"/>
        </w:rPr>
        <w:t>All electricity regenerated by solar farms is intended to satisfy internal energy needs of the refinery. Electricity is not transmitted to LITGRID (transmission system operator).</w:t>
      </w:r>
    </w:p>
    <w:p w14:paraId="2DEBA5F0" w14:textId="77777777" w:rsidR="006F6B49" w:rsidRPr="00496D44" w:rsidRDefault="006F6B49" w:rsidP="00BF58D0">
      <w:pPr>
        <w:spacing w:after="120"/>
        <w:jc w:val="both"/>
        <w:rPr>
          <w:rFonts w:ascii="Arial" w:hAnsi="Arial" w:cs="Arial"/>
          <w:color w:val="000000" w:themeColor="text1"/>
        </w:rPr>
      </w:pPr>
      <w:r>
        <w:rPr>
          <w:rFonts w:ascii="Arial" w:hAnsi="Arial"/>
          <w:color w:val="000000" w:themeColor="text1"/>
        </w:rPr>
        <w:t>Solar farms SE-1, SE-2, SE-3, and SE-4 are integrated into OL power system via dedicated transformers and 6 kV switchgear cubicles.</w:t>
      </w:r>
    </w:p>
    <w:p w14:paraId="4449BA3C" w14:textId="77777777" w:rsidR="006F6B49" w:rsidRPr="00496D44" w:rsidRDefault="006F6B49" w:rsidP="006F6B49">
      <w:pPr>
        <w:jc w:val="both"/>
        <w:rPr>
          <w:rFonts w:ascii="Arial" w:hAnsi="Arial" w:cs="Arial"/>
          <w:color w:val="000000" w:themeColor="text1"/>
        </w:rPr>
      </w:pPr>
      <w:r>
        <w:rPr>
          <w:rFonts w:ascii="Arial" w:hAnsi="Arial"/>
          <w:color w:val="000000" w:themeColor="text1"/>
        </w:rPr>
        <w:t>The refinery’s electricity demand is covered by in-house Power House and solar farms SE-1, SE-2, SE-3, SE-4 as well as external transmission grids.</w:t>
      </w:r>
    </w:p>
    <w:p w14:paraId="5B7A65AA" w14:textId="77777777" w:rsidR="00E83E9B" w:rsidRPr="00496D44" w:rsidRDefault="006F6B49" w:rsidP="00467F2F">
      <w:pPr>
        <w:pStyle w:val="Heading2"/>
        <w:jc w:val="both"/>
        <w:rPr>
          <w:rFonts w:ascii="Arial" w:hAnsi="Arial" w:cs="Arial"/>
          <w:color w:val="000000" w:themeColor="text1"/>
          <w:sz w:val="22"/>
          <w:szCs w:val="22"/>
        </w:rPr>
      </w:pPr>
      <w:r>
        <w:rPr>
          <w:rFonts w:ascii="Arial" w:hAnsi="Arial"/>
          <w:color w:val="000000" w:themeColor="text1"/>
          <w:sz w:val="22"/>
        </w:rPr>
        <w:t>2. Purpose</w:t>
      </w:r>
    </w:p>
    <w:p w14:paraId="019B0ABF" w14:textId="77777777" w:rsidR="00E83E9B" w:rsidRPr="00496D44" w:rsidRDefault="00C87826" w:rsidP="00467F2F">
      <w:pPr>
        <w:jc w:val="both"/>
        <w:rPr>
          <w:rFonts w:ascii="Arial" w:hAnsi="Arial" w:cs="Arial"/>
          <w:color w:val="000000" w:themeColor="text1"/>
        </w:rPr>
      </w:pPr>
      <w:r>
        <w:rPr>
          <w:rFonts w:ascii="Arial" w:hAnsi="Arial"/>
        </w:rPr>
        <w:t xml:space="preserve">The purpose of feasibility study is to evaluate technical and economical possibilities to install battery energy storage system (BESS) integrated with power farms of the refinery utilizing only existing infrastructure of solar farms.  </w:t>
      </w:r>
    </w:p>
    <w:p w14:paraId="33F7E8A6" w14:textId="77777777" w:rsidR="00E83E9B" w:rsidRPr="00496D44" w:rsidRDefault="006F6B49" w:rsidP="00467F2F">
      <w:pPr>
        <w:pStyle w:val="Heading2"/>
        <w:jc w:val="both"/>
        <w:rPr>
          <w:rFonts w:ascii="Arial" w:hAnsi="Arial" w:cs="Arial"/>
          <w:color w:val="000000" w:themeColor="text1"/>
          <w:sz w:val="22"/>
          <w:szCs w:val="22"/>
        </w:rPr>
      </w:pPr>
      <w:r>
        <w:rPr>
          <w:rFonts w:ascii="Arial" w:hAnsi="Arial"/>
          <w:color w:val="000000" w:themeColor="text1"/>
          <w:sz w:val="22"/>
        </w:rPr>
        <w:t>3. Tasks</w:t>
      </w:r>
    </w:p>
    <w:p w14:paraId="48A5090A" w14:textId="23D45AB4" w:rsidR="00E83E9B" w:rsidRPr="00496D44" w:rsidRDefault="00C87826" w:rsidP="00467F2F">
      <w:pPr>
        <w:pStyle w:val="ListNumber"/>
        <w:jc w:val="both"/>
        <w:rPr>
          <w:rFonts w:ascii="Arial" w:hAnsi="Arial" w:cs="Arial"/>
          <w:color w:val="000000" w:themeColor="text1"/>
        </w:rPr>
      </w:pPr>
      <w:r>
        <w:rPr>
          <w:rFonts w:ascii="Arial" w:hAnsi="Arial"/>
          <w:color w:val="000000" w:themeColor="text1"/>
        </w:rPr>
        <w:t>Evaluate existing power infrastructure of solar farms SE-1, SE-2, SE-3, SE-4 and possibility to integrate energy storage devices.  Existing power infrastructure of solar farms consists all electrical equipment upstream connection cubicles in refinery 6 kV switchgears/substations, including PV modules, inverters,</w:t>
      </w:r>
      <w:r w:rsidR="006A5EA6">
        <w:rPr>
          <w:rFonts w:ascii="Arial" w:hAnsi="Arial"/>
          <w:color w:val="000000" w:themeColor="text1"/>
        </w:rPr>
        <w:t xml:space="preserve"> </w:t>
      </w:r>
      <w:r>
        <w:rPr>
          <w:rFonts w:ascii="Arial" w:hAnsi="Arial"/>
          <w:color w:val="000000" w:themeColor="text1"/>
        </w:rPr>
        <w:t>0.8/6 kV transformer substations (16 pcs), cables, etc.</w:t>
      </w:r>
    </w:p>
    <w:p w14:paraId="7E5896B7" w14:textId="1F7AFBFF" w:rsidR="00E83E9B" w:rsidRPr="00496D44" w:rsidRDefault="00C87826" w:rsidP="00467F2F">
      <w:pPr>
        <w:pStyle w:val="ListNumber"/>
        <w:jc w:val="both"/>
        <w:rPr>
          <w:rFonts w:ascii="Arial" w:hAnsi="Arial" w:cs="Arial"/>
          <w:color w:val="000000" w:themeColor="text1"/>
        </w:rPr>
      </w:pPr>
      <w:r>
        <w:rPr>
          <w:rFonts w:ascii="Arial" w:hAnsi="Arial"/>
          <w:color w:val="000000" w:themeColor="text1"/>
        </w:rPr>
        <w:t xml:space="preserve">Analyze in-house power consumption and generation dynamics, select BESS of required </w:t>
      </w:r>
      <w:r w:rsidR="006A5EA6">
        <w:rPr>
          <w:rFonts w:ascii="Arial" w:hAnsi="Arial"/>
          <w:color w:val="000000" w:themeColor="text1"/>
        </w:rPr>
        <w:t xml:space="preserve">power and </w:t>
      </w:r>
      <w:r>
        <w:rPr>
          <w:rFonts w:ascii="Arial" w:hAnsi="Arial"/>
          <w:color w:val="000000" w:themeColor="text1"/>
        </w:rPr>
        <w:t>capacity.</w:t>
      </w:r>
    </w:p>
    <w:p w14:paraId="279AD6FA" w14:textId="77777777" w:rsidR="00E83E9B" w:rsidRPr="00496D44" w:rsidRDefault="00C87826" w:rsidP="00467F2F">
      <w:pPr>
        <w:pStyle w:val="ListNumber"/>
        <w:jc w:val="both"/>
        <w:rPr>
          <w:rFonts w:ascii="Arial" w:hAnsi="Arial" w:cs="Arial"/>
          <w:color w:val="000000" w:themeColor="text1"/>
        </w:rPr>
      </w:pPr>
      <w:r>
        <w:rPr>
          <w:rFonts w:ascii="Arial" w:hAnsi="Arial"/>
          <w:color w:val="000000" w:themeColor="text1"/>
        </w:rPr>
        <w:t>Define the principles of control for new BESS in in-house grid.</w:t>
      </w:r>
    </w:p>
    <w:p w14:paraId="7A360F41" w14:textId="092422C1" w:rsidR="00E83E9B" w:rsidRPr="00496D44" w:rsidRDefault="00C87826" w:rsidP="00467F2F">
      <w:pPr>
        <w:pStyle w:val="ListNumber"/>
        <w:jc w:val="both"/>
        <w:rPr>
          <w:rFonts w:ascii="Arial" w:hAnsi="Arial" w:cs="Arial"/>
          <w:color w:val="000000" w:themeColor="text1"/>
        </w:rPr>
      </w:pPr>
      <w:r>
        <w:rPr>
          <w:rFonts w:ascii="Arial" w:hAnsi="Arial"/>
          <w:color w:val="000000" w:themeColor="text1"/>
        </w:rPr>
        <w:lastRenderedPageBreak/>
        <w:t xml:space="preserve">After key technical parameters are defined, perform preliminary estimation of CAPEX (with </w:t>
      </w:r>
      <w:r>
        <w:rPr>
          <w:rFonts w:ascii="Arial" w:hAnsi="Arial"/>
          <w:color w:val="000000" w:themeColor="text1"/>
        </w:rPr>
        <w:sym w:font="Symbol" w:char="F0B1"/>
      </w:r>
      <w:r>
        <w:rPr>
          <w:rFonts w:ascii="Arial" w:hAnsi="Arial"/>
          <w:color w:val="000000" w:themeColor="text1"/>
        </w:rPr>
        <w:t xml:space="preserve">20 % </w:t>
      </w:r>
      <w:r w:rsidR="0002533A">
        <w:rPr>
          <w:rFonts w:ascii="Arial" w:hAnsi="Arial"/>
          <w:color w:val="000000" w:themeColor="text1"/>
        </w:rPr>
        <w:t>accuracy</w:t>
      </w:r>
      <w:r>
        <w:rPr>
          <w:rFonts w:ascii="Arial" w:hAnsi="Arial"/>
          <w:color w:val="000000" w:themeColor="text1"/>
        </w:rPr>
        <w:t>).</w:t>
      </w:r>
    </w:p>
    <w:p w14:paraId="06F43A09" w14:textId="77777777" w:rsidR="00E83E9B" w:rsidRPr="00496D44" w:rsidRDefault="00C87826" w:rsidP="00467F2F">
      <w:pPr>
        <w:pStyle w:val="ListNumber"/>
        <w:jc w:val="both"/>
        <w:rPr>
          <w:rFonts w:ascii="Arial" w:hAnsi="Arial" w:cs="Arial"/>
          <w:color w:val="000000" w:themeColor="text1"/>
        </w:rPr>
      </w:pPr>
      <w:r>
        <w:rPr>
          <w:rFonts w:ascii="Arial" w:hAnsi="Arial"/>
          <w:color w:val="000000" w:themeColor="text1"/>
        </w:rPr>
        <w:t>Evaluate and quantify potential benefits of BESS:</w:t>
      </w:r>
    </w:p>
    <w:p w14:paraId="626323D7" w14:textId="77777777" w:rsidR="007D0236" w:rsidRPr="00496D44" w:rsidRDefault="00496D44" w:rsidP="00FA02E7">
      <w:pPr>
        <w:pStyle w:val="ListNumber"/>
        <w:numPr>
          <w:ilvl w:val="0"/>
          <w:numId w:val="11"/>
        </w:numPr>
        <w:jc w:val="both"/>
        <w:rPr>
          <w:rFonts w:ascii="Arial" w:hAnsi="Arial" w:cs="Arial"/>
          <w:color w:val="000000" w:themeColor="text1"/>
        </w:rPr>
      </w:pPr>
      <w:r>
        <w:rPr>
          <w:rFonts w:ascii="Arial" w:hAnsi="Arial"/>
          <w:color w:val="000000" w:themeColor="text1"/>
        </w:rPr>
        <w:t xml:space="preserve">Preliminary optimization of capacity ordered from Lithuanian power transmission system operator LITGRID; </w:t>
      </w:r>
    </w:p>
    <w:p w14:paraId="1062CE45" w14:textId="77777777" w:rsidR="007D0236" w:rsidRPr="00496D44" w:rsidRDefault="00496D44" w:rsidP="00FA02E7">
      <w:pPr>
        <w:pStyle w:val="ListNumber"/>
        <w:numPr>
          <w:ilvl w:val="0"/>
          <w:numId w:val="11"/>
        </w:numPr>
        <w:jc w:val="both"/>
        <w:rPr>
          <w:rFonts w:ascii="Arial" w:hAnsi="Arial" w:cs="Arial"/>
          <w:color w:val="000000" w:themeColor="text1"/>
        </w:rPr>
      </w:pPr>
      <w:r>
        <w:rPr>
          <w:rFonts w:ascii="Arial" w:hAnsi="Arial"/>
          <w:color w:val="000000" w:themeColor="text1"/>
        </w:rPr>
        <w:t>Preliminary optimization of the price of purchased electricity;</w:t>
      </w:r>
    </w:p>
    <w:p w14:paraId="398FD468" w14:textId="77777777" w:rsidR="007D0236" w:rsidRPr="00496D44" w:rsidRDefault="00496D44" w:rsidP="003500EB">
      <w:pPr>
        <w:pStyle w:val="ListNumber"/>
        <w:numPr>
          <w:ilvl w:val="0"/>
          <w:numId w:val="11"/>
        </w:numPr>
        <w:jc w:val="both"/>
        <w:rPr>
          <w:rFonts w:ascii="Arial" w:hAnsi="Arial" w:cs="Arial"/>
          <w:color w:val="000000" w:themeColor="text1"/>
        </w:rPr>
      </w:pPr>
      <w:r>
        <w:rPr>
          <w:rFonts w:ascii="Arial" w:hAnsi="Arial"/>
          <w:color w:val="000000" w:themeColor="text1"/>
        </w:rPr>
        <w:t>Possibility and conditions for optimizing the provision of system services (mFRR, FCR).</w:t>
      </w:r>
    </w:p>
    <w:p w14:paraId="5DD45B1E" w14:textId="77777777" w:rsidR="007D0236" w:rsidRPr="00496D44" w:rsidRDefault="00496D44" w:rsidP="00AB5C78">
      <w:pPr>
        <w:pStyle w:val="ListNumber"/>
        <w:numPr>
          <w:ilvl w:val="0"/>
          <w:numId w:val="11"/>
        </w:numPr>
        <w:jc w:val="both"/>
        <w:rPr>
          <w:rFonts w:ascii="Arial" w:hAnsi="Arial" w:cs="Arial"/>
          <w:color w:val="000000" w:themeColor="text1"/>
        </w:rPr>
      </w:pPr>
      <w:r>
        <w:rPr>
          <w:rFonts w:ascii="Arial" w:hAnsi="Arial"/>
          <w:color w:val="000000" w:themeColor="text1"/>
        </w:rPr>
        <w:t>A brief assessment of possible scenarios and the benefits that BESS would provide for electricity supply reliability in the event of blackout. In the event of blackout, the priority would be the restoration of generation at in-house Power House with steam turbine.</w:t>
      </w:r>
    </w:p>
    <w:p w14:paraId="36B876B9" w14:textId="5F5B041D" w:rsidR="00E83E9B" w:rsidRPr="00496D44" w:rsidRDefault="006F6B49" w:rsidP="00467F2F">
      <w:pPr>
        <w:pStyle w:val="Heading2"/>
        <w:jc w:val="both"/>
        <w:rPr>
          <w:rFonts w:ascii="Arial" w:hAnsi="Arial" w:cs="Arial"/>
          <w:color w:val="000000" w:themeColor="text1"/>
          <w:sz w:val="22"/>
          <w:szCs w:val="22"/>
        </w:rPr>
      </w:pPr>
      <w:r>
        <w:rPr>
          <w:rFonts w:ascii="Arial" w:hAnsi="Arial"/>
          <w:color w:val="000000" w:themeColor="text1"/>
          <w:sz w:val="22"/>
        </w:rPr>
        <w:t xml:space="preserve">4. Scope of </w:t>
      </w:r>
      <w:r w:rsidR="0002533A">
        <w:rPr>
          <w:rFonts w:ascii="Arial" w:hAnsi="Arial"/>
          <w:color w:val="000000" w:themeColor="text1"/>
          <w:sz w:val="22"/>
        </w:rPr>
        <w:t>w</w:t>
      </w:r>
      <w:r>
        <w:rPr>
          <w:rFonts w:ascii="Arial" w:hAnsi="Arial"/>
          <w:color w:val="000000" w:themeColor="text1"/>
          <w:sz w:val="22"/>
        </w:rPr>
        <w:t>ork</w:t>
      </w:r>
    </w:p>
    <w:p w14:paraId="5DAF7577"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t>4.1. Analysis of existing infrastructure</w:t>
      </w:r>
    </w:p>
    <w:p w14:paraId="2F3A4367" w14:textId="77777777" w:rsidR="000D0144" w:rsidRDefault="00C87826" w:rsidP="000D0144">
      <w:pPr>
        <w:pStyle w:val="ListBullet"/>
        <w:jc w:val="both"/>
        <w:rPr>
          <w:rFonts w:ascii="Arial" w:hAnsi="Arial" w:cs="Arial"/>
          <w:color w:val="000000" w:themeColor="text1"/>
        </w:rPr>
      </w:pPr>
      <w:r>
        <w:rPr>
          <w:rFonts w:ascii="Arial" w:hAnsi="Arial"/>
          <w:color w:val="000000" w:themeColor="text1"/>
        </w:rPr>
        <w:t>Evaluate solar farm wiring diagrams, power flows, reserves and infrastructure limitations.</w:t>
      </w:r>
    </w:p>
    <w:p w14:paraId="693892D8" w14:textId="77777777" w:rsidR="001B4D8C" w:rsidRPr="00496D44" w:rsidRDefault="001B4D8C" w:rsidP="000D0144">
      <w:pPr>
        <w:pStyle w:val="ListBullet"/>
        <w:jc w:val="both"/>
        <w:rPr>
          <w:rFonts w:ascii="Arial" w:hAnsi="Arial" w:cs="Arial"/>
          <w:color w:val="000000" w:themeColor="text1"/>
        </w:rPr>
      </w:pPr>
      <w:r>
        <w:rPr>
          <w:rFonts w:ascii="Arial" w:hAnsi="Arial"/>
          <w:color w:val="000000" w:themeColor="text1"/>
        </w:rPr>
        <w:t xml:space="preserve">Evaluate the impact of BESS on automatic load transfer activation and relay protection diagram functioning. </w:t>
      </w:r>
    </w:p>
    <w:p w14:paraId="3A664CCC" w14:textId="77777777" w:rsidR="00706F57" w:rsidRPr="00496D44" w:rsidRDefault="00C87826" w:rsidP="000D0144">
      <w:pPr>
        <w:pStyle w:val="ListBullet"/>
        <w:jc w:val="both"/>
        <w:rPr>
          <w:rFonts w:ascii="Arial" w:hAnsi="Arial" w:cs="Arial"/>
          <w:color w:val="000000" w:themeColor="text1"/>
        </w:rPr>
      </w:pPr>
      <w:r>
        <w:rPr>
          <w:rFonts w:ascii="Arial" w:hAnsi="Arial"/>
          <w:color w:val="000000" w:themeColor="text1"/>
        </w:rPr>
        <w:t>Define potential places for connection of BESS and evaluate required modifications to the grid (connectors, cables, protectors, control systems, etc.).</w:t>
      </w:r>
    </w:p>
    <w:p w14:paraId="019D1045" w14:textId="77777777" w:rsidR="00E83E9B" w:rsidRPr="00496D44" w:rsidRDefault="00737F16" w:rsidP="00467F2F">
      <w:pPr>
        <w:pStyle w:val="ListBullet"/>
        <w:jc w:val="both"/>
        <w:rPr>
          <w:rFonts w:ascii="Arial" w:hAnsi="Arial" w:cs="Arial"/>
          <w:color w:val="000000" w:themeColor="text1"/>
        </w:rPr>
      </w:pPr>
      <w:r>
        <w:rPr>
          <w:rFonts w:ascii="Arial" w:hAnsi="Arial"/>
          <w:color w:val="000000" w:themeColor="text1"/>
        </w:rPr>
        <w:t>Develop single line diagrams for connection of BESS installations to existing infrastructure of solar farms.</w:t>
      </w:r>
    </w:p>
    <w:p w14:paraId="0185D899" w14:textId="77777777" w:rsidR="007D0236" w:rsidRPr="00496D44" w:rsidRDefault="00737F16" w:rsidP="00467F2F">
      <w:pPr>
        <w:pStyle w:val="ListBullet"/>
        <w:jc w:val="both"/>
        <w:rPr>
          <w:rFonts w:ascii="Arial" w:hAnsi="Arial" w:cs="Arial"/>
          <w:color w:val="000000" w:themeColor="text1"/>
        </w:rPr>
      </w:pPr>
      <w:r>
        <w:rPr>
          <w:rFonts w:ascii="Arial" w:hAnsi="Arial"/>
          <w:color w:val="000000" w:themeColor="text1"/>
        </w:rPr>
        <w:t>Select preliminary places for installation of BESS and cabling (to be agreed with OL).</w:t>
      </w:r>
    </w:p>
    <w:p w14:paraId="06D31B89" w14:textId="77777777" w:rsidR="00561A11" w:rsidRPr="00496D44" w:rsidRDefault="00561A11" w:rsidP="00561A11">
      <w:pPr>
        <w:pStyle w:val="ListBullet"/>
        <w:numPr>
          <w:ilvl w:val="0"/>
          <w:numId w:val="0"/>
        </w:numPr>
        <w:jc w:val="both"/>
        <w:rPr>
          <w:rFonts w:ascii="Arial" w:hAnsi="Arial" w:cs="Arial"/>
          <w:color w:val="000000" w:themeColor="text1"/>
        </w:rPr>
      </w:pPr>
      <w:r>
        <w:rPr>
          <w:rFonts w:ascii="Arial" w:hAnsi="Arial"/>
          <w:color w:val="000000" w:themeColor="text1"/>
        </w:rPr>
        <w:t>NOTE: The Owner expects that the Contractor will focus on the most cost‑optimal and rational solution.</w:t>
      </w:r>
    </w:p>
    <w:p w14:paraId="6BD40D5A"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t>4.2. Power demand and generation analysis</w:t>
      </w:r>
    </w:p>
    <w:p w14:paraId="41111833" w14:textId="77777777" w:rsidR="00904FE1" w:rsidRPr="00496D44" w:rsidRDefault="004F41B7" w:rsidP="004F41B7">
      <w:pPr>
        <w:pStyle w:val="ListBullet"/>
        <w:rPr>
          <w:color w:val="000000" w:themeColor="text1"/>
        </w:rPr>
      </w:pPr>
      <w:r>
        <w:rPr>
          <w:rFonts w:ascii="Arial" w:hAnsi="Arial"/>
          <w:color w:val="000000" w:themeColor="text1"/>
        </w:rPr>
        <w:t>Taking into account OL electricity consumption and generation profiles, the Contractor shall:</w:t>
      </w:r>
    </w:p>
    <w:p w14:paraId="47DA29A1" w14:textId="77777777" w:rsidR="005428B4" w:rsidRPr="00496D44" w:rsidRDefault="005428B4" w:rsidP="004F41B7">
      <w:pPr>
        <w:pStyle w:val="ListBullet"/>
        <w:tabs>
          <w:tab w:val="clear" w:pos="360"/>
          <w:tab w:val="num" w:pos="720"/>
        </w:tabs>
        <w:ind w:left="720"/>
        <w:jc w:val="both"/>
        <w:rPr>
          <w:rFonts w:ascii="Arial" w:hAnsi="Arial" w:cs="Arial"/>
          <w:color w:val="000000" w:themeColor="text1"/>
        </w:rPr>
      </w:pPr>
      <w:r>
        <w:rPr>
          <w:rFonts w:ascii="Arial" w:hAnsi="Arial"/>
          <w:color w:val="000000" w:themeColor="text1"/>
        </w:rPr>
        <w:t>Select the most suitable power storage technology (Li-ion, LFP, NaS, flow battery, etc.). Provide the reasoning and justification for the proposed solution.</w:t>
      </w:r>
    </w:p>
    <w:p w14:paraId="177BDBCF" w14:textId="77777777" w:rsidR="00E83E9B" w:rsidRPr="00496D44" w:rsidRDefault="005428B4" w:rsidP="004F41B7">
      <w:pPr>
        <w:pStyle w:val="ListBullet"/>
        <w:tabs>
          <w:tab w:val="clear" w:pos="360"/>
          <w:tab w:val="num" w:pos="720"/>
        </w:tabs>
        <w:ind w:left="720"/>
        <w:jc w:val="both"/>
        <w:rPr>
          <w:rFonts w:ascii="Arial" w:hAnsi="Arial" w:cs="Arial"/>
          <w:color w:val="000000" w:themeColor="text1"/>
        </w:rPr>
      </w:pPr>
      <w:r>
        <w:rPr>
          <w:rFonts w:ascii="Arial" w:hAnsi="Arial"/>
          <w:color w:val="000000" w:themeColor="text1"/>
        </w:rPr>
        <w:t>Determine the optimal power (MW) and capacity (MWh) of the storage system(s). Provide the reasoning and justification for the proposed solution.</w:t>
      </w:r>
    </w:p>
    <w:p w14:paraId="05AC5145" w14:textId="77777777" w:rsidR="00825EB0" w:rsidRPr="00496D44" w:rsidRDefault="00825EB0" w:rsidP="004F41B7">
      <w:pPr>
        <w:pStyle w:val="ListBullet"/>
        <w:tabs>
          <w:tab w:val="clear" w:pos="360"/>
          <w:tab w:val="num" w:pos="720"/>
        </w:tabs>
        <w:ind w:left="720"/>
        <w:jc w:val="both"/>
        <w:rPr>
          <w:rFonts w:ascii="Arial" w:hAnsi="Arial" w:cs="Arial"/>
          <w:color w:val="000000" w:themeColor="text1"/>
        </w:rPr>
      </w:pPr>
      <w:r>
        <w:rPr>
          <w:rFonts w:ascii="Arial" w:hAnsi="Arial"/>
          <w:color w:val="000000" w:themeColor="text1"/>
        </w:rPr>
        <w:t>Based on the selected storage technology, power, and capacity, provide a list of potential suppliers. Provide preliminary time-line for delivery of equipment, including control system.</w:t>
      </w:r>
    </w:p>
    <w:p w14:paraId="3EB678F7"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t>4.3. Control system integration concept</w:t>
      </w:r>
    </w:p>
    <w:p w14:paraId="794B7EB5" w14:textId="77777777" w:rsidR="00570A5A" w:rsidRPr="00496D44" w:rsidRDefault="00570A5A" w:rsidP="00467F2F">
      <w:pPr>
        <w:pStyle w:val="ListBullet"/>
        <w:jc w:val="both"/>
        <w:rPr>
          <w:rFonts w:ascii="Arial" w:hAnsi="Arial" w:cs="Arial"/>
          <w:color w:val="000000" w:themeColor="text1"/>
        </w:rPr>
      </w:pPr>
      <w:r>
        <w:rPr>
          <w:rFonts w:ascii="Arial" w:hAnsi="Arial"/>
          <w:color w:val="000000" w:themeColor="text1"/>
        </w:rPr>
        <w:t>Evaluate whether new BESS can be integrated into existing SCADA of solar farms.</w:t>
      </w:r>
    </w:p>
    <w:p w14:paraId="6048E3EE" w14:textId="7F8A98A6" w:rsidR="00570A5A" w:rsidRPr="00496D44" w:rsidRDefault="00570A5A" w:rsidP="000D0144">
      <w:pPr>
        <w:pStyle w:val="ListBullet"/>
        <w:jc w:val="both"/>
        <w:rPr>
          <w:rFonts w:ascii="Arial" w:hAnsi="Arial" w:cs="Arial"/>
          <w:color w:val="000000" w:themeColor="text1"/>
        </w:rPr>
      </w:pPr>
      <w:r>
        <w:rPr>
          <w:rFonts w:ascii="Arial" w:hAnsi="Arial"/>
          <w:color w:val="000000" w:themeColor="text1"/>
        </w:rPr>
        <w:t>Describe and/or schematically present the preliminary control logic/algorithm (charging, discharging, load balancing, emergency mode).</w:t>
      </w:r>
      <w:r w:rsidR="0002533A">
        <w:rPr>
          <w:rFonts w:ascii="Arial" w:hAnsi="Arial"/>
          <w:color w:val="000000" w:themeColor="text1"/>
        </w:rPr>
        <w:t xml:space="preserve"> </w:t>
      </w:r>
      <w:r>
        <w:rPr>
          <w:rFonts w:ascii="Arial" w:hAnsi="Arial"/>
          <w:color w:val="000000" w:themeColor="text1"/>
        </w:rPr>
        <w:t>Provide examples of charging/discharging cycles over a 24‑hour period (under various scenarios).</w:t>
      </w:r>
    </w:p>
    <w:p w14:paraId="675D1D2A"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lastRenderedPageBreak/>
        <w:t>4.4. Evaluation of required CAPEX</w:t>
      </w:r>
    </w:p>
    <w:p w14:paraId="7A34D030" w14:textId="3C3E1493" w:rsidR="00E83E9B" w:rsidRPr="00496D44" w:rsidRDefault="00C87826" w:rsidP="00467F2F">
      <w:pPr>
        <w:pStyle w:val="ListBullet"/>
        <w:jc w:val="both"/>
        <w:rPr>
          <w:rFonts w:ascii="Arial" w:hAnsi="Arial" w:cs="Arial"/>
          <w:color w:val="000000" w:themeColor="text1"/>
        </w:rPr>
      </w:pPr>
      <w:r>
        <w:rPr>
          <w:rFonts w:ascii="Arial" w:hAnsi="Arial"/>
          <w:color w:val="000000" w:themeColor="text1"/>
        </w:rPr>
        <w:t>Quantify preliminary engineering, procurement and construction (EPC) budget (with</w:t>
      </w:r>
      <w:r w:rsidR="0002533A">
        <w:rPr>
          <w:rFonts w:ascii="Arial" w:hAnsi="Arial"/>
          <w:color w:val="000000" w:themeColor="text1"/>
        </w:rPr>
        <w:t xml:space="preserve"> </w:t>
      </w:r>
      <w:r>
        <w:rPr>
          <w:rFonts w:ascii="Arial" w:hAnsi="Arial"/>
          <w:color w:val="000000" w:themeColor="text1"/>
        </w:rPr>
        <w:sym w:font="Symbol" w:char="F0B1"/>
      </w:r>
      <w:r>
        <w:rPr>
          <w:rFonts w:ascii="Arial" w:hAnsi="Arial"/>
          <w:color w:val="000000" w:themeColor="text1"/>
        </w:rPr>
        <w:t xml:space="preserve">20 % </w:t>
      </w:r>
      <w:r w:rsidR="0002533A">
        <w:rPr>
          <w:rFonts w:ascii="Arial" w:hAnsi="Arial"/>
          <w:color w:val="000000" w:themeColor="text1"/>
        </w:rPr>
        <w:t>accuracy</w:t>
      </w:r>
      <w:r>
        <w:rPr>
          <w:rFonts w:ascii="Arial" w:hAnsi="Arial"/>
          <w:color w:val="000000" w:themeColor="text1"/>
        </w:rPr>
        <w:t>).</w:t>
      </w:r>
    </w:p>
    <w:p w14:paraId="5723ABE9" w14:textId="77777777" w:rsidR="00E83E9B" w:rsidRPr="00496D44" w:rsidRDefault="00C87826" w:rsidP="00467F2F">
      <w:pPr>
        <w:pStyle w:val="ListBullet"/>
        <w:jc w:val="both"/>
        <w:rPr>
          <w:rFonts w:ascii="Arial" w:hAnsi="Arial" w:cs="Arial"/>
          <w:color w:val="000000" w:themeColor="text1"/>
        </w:rPr>
      </w:pPr>
      <w:r>
        <w:rPr>
          <w:rFonts w:ascii="Arial" w:hAnsi="Arial"/>
          <w:color w:val="000000" w:themeColor="text1"/>
        </w:rPr>
        <w:t>Develop CAPEX summary by key cost groups.</w:t>
      </w:r>
    </w:p>
    <w:p w14:paraId="0E86E7D5"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t>4.5. Economic benefit and payback analysis</w:t>
      </w:r>
    </w:p>
    <w:p w14:paraId="68789637" w14:textId="2E6512D5" w:rsidR="00E83E9B" w:rsidRPr="00496D44" w:rsidRDefault="009E3760" w:rsidP="00467F2F">
      <w:pPr>
        <w:pStyle w:val="ListBullet"/>
        <w:jc w:val="both"/>
        <w:rPr>
          <w:rFonts w:ascii="Arial" w:hAnsi="Arial" w:cs="Arial"/>
          <w:color w:val="000000" w:themeColor="text1"/>
        </w:rPr>
      </w:pPr>
      <w:r>
        <w:rPr>
          <w:rFonts w:ascii="Arial" w:hAnsi="Arial"/>
          <w:color w:val="000000" w:themeColor="text1"/>
        </w:rPr>
        <w:t xml:space="preserve">Calculate annual savings and present the savings broken down by quarter, </w:t>
      </w:r>
      <w:r w:rsidR="0002533A">
        <w:rPr>
          <w:rFonts w:ascii="Arial" w:hAnsi="Arial"/>
          <w:color w:val="000000" w:themeColor="text1"/>
        </w:rPr>
        <w:t>considering</w:t>
      </w:r>
      <w:r>
        <w:rPr>
          <w:rFonts w:ascii="Arial" w:hAnsi="Arial"/>
          <w:color w:val="000000" w:themeColor="text1"/>
        </w:rPr>
        <w:t xml:space="preserve"> the following potential benefits:</w:t>
      </w:r>
    </w:p>
    <w:p w14:paraId="7527B2E4" w14:textId="77777777" w:rsidR="009E3760" w:rsidRPr="00496D44" w:rsidRDefault="003500EB" w:rsidP="003500EB">
      <w:pPr>
        <w:pStyle w:val="ListBullet"/>
        <w:numPr>
          <w:ilvl w:val="0"/>
          <w:numId w:val="12"/>
        </w:numPr>
        <w:jc w:val="both"/>
        <w:rPr>
          <w:rFonts w:ascii="Arial" w:hAnsi="Arial" w:cs="Arial"/>
          <w:color w:val="000000" w:themeColor="text1"/>
        </w:rPr>
      </w:pPr>
      <w:r>
        <w:rPr>
          <w:rFonts w:ascii="Arial" w:hAnsi="Arial"/>
          <w:color w:val="000000" w:themeColor="text1"/>
        </w:rPr>
        <w:t>Optimization of capacity ordered from Lithuanian power transmission system operator LITGRID (capacity cost component, ancillary services cost component);</w:t>
      </w:r>
    </w:p>
    <w:p w14:paraId="0F06B8C9" w14:textId="77777777" w:rsidR="003500EB" w:rsidRPr="00496D44" w:rsidRDefault="003500EB" w:rsidP="003500EB">
      <w:pPr>
        <w:pStyle w:val="ListBullet"/>
        <w:numPr>
          <w:ilvl w:val="0"/>
          <w:numId w:val="12"/>
        </w:numPr>
        <w:jc w:val="both"/>
        <w:rPr>
          <w:rFonts w:ascii="Arial" w:hAnsi="Arial" w:cs="Arial"/>
          <w:color w:val="000000" w:themeColor="text1"/>
        </w:rPr>
      </w:pPr>
      <w:r>
        <w:rPr>
          <w:rFonts w:ascii="Arial" w:hAnsi="Arial"/>
          <w:color w:val="000000" w:themeColor="text1"/>
        </w:rPr>
        <w:t>Optimization of the price of purchased electricity, by charging BESS when market price is low and/or OL solar farms are generating surplus energy, and discharging when the market price is high and/or OL solar farms are not generating or generating minimally. It is important to note that electricity from solar farms and BESS cannot be sold on the market;</w:t>
      </w:r>
    </w:p>
    <w:p w14:paraId="0FEBB67D" w14:textId="77777777" w:rsidR="000434BA" w:rsidRPr="00496D44" w:rsidRDefault="003500EB" w:rsidP="003500EB">
      <w:pPr>
        <w:pStyle w:val="ListBullet"/>
        <w:numPr>
          <w:ilvl w:val="0"/>
          <w:numId w:val="12"/>
        </w:numPr>
        <w:jc w:val="both"/>
        <w:rPr>
          <w:rFonts w:ascii="Arial" w:hAnsi="Arial" w:cs="Arial"/>
          <w:color w:val="000000" w:themeColor="text1"/>
        </w:rPr>
      </w:pPr>
      <w:r>
        <w:rPr>
          <w:rFonts w:ascii="Arial" w:hAnsi="Arial"/>
          <w:color w:val="000000" w:themeColor="text1"/>
        </w:rPr>
        <w:t>Optimizing the provision of system services (mFRR, FCR);</w:t>
      </w:r>
    </w:p>
    <w:p w14:paraId="60C4871D" w14:textId="77777777" w:rsidR="0088256A" w:rsidRPr="00496D44" w:rsidRDefault="0088256A" w:rsidP="003500EB">
      <w:pPr>
        <w:pStyle w:val="ListBullet"/>
        <w:numPr>
          <w:ilvl w:val="0"/>
          <w:numId w:val="12"/>
        </w:numPr>
        <w:jc w:val="both"/>
        <w:rPr>
          <w:rFonts w:ascii="Arial" w:hAnsi="Arial" w:cs="Arial"/>
          <w:color w:val="000000" w:themeColor="text1"/>
        </w:rPr>
      </w:pPr>
      <w:r>
        <w:rPr>
          <w:rFonts w:ascii="Arial" w:hAnsi="Arial"/>
          <w:color w:val="000000" w:themeColor="text1"/>
        </w:rPr>
        <w:t>Other benefits (defined by the Contractor).</w:t>
      </w:r>
    </w:p>
    <w:p w14:paraId="6E805C18" w14:textId="77777777" w:rsidR="00B030C7" w:rsidRDefault="009E3760" w:rsidP="003500EB">
      <w:pPr>
        <w:pStyle w:val="ListBullet"/>
        <w:rPr>
          <w:rFonts w:ascii="Arial" w:hAnsi="Arial" w:cs="Arial"/>
          <w:color w:val="000000" w:themeColor="text1"/>
        </w:rPr>
      </w:pPr>
      <w:r>
        <w:rPr>
          <w:rFonts w:ascii="Arial" w:hAnsi="Arial"/>
          <w:color w:val="000000" w:themeColor="text1"/>
        </w:rPr>
        <w:t>Assess annual BESS operation and maintenance (O&amp;M) costs.</w:t>
      </w:r>
    </w:p>
    <w:p w14:paraId="4D59E886" w14:textId="77777777" w:rsidR="009E3760" w:rsidRDefault="00D9722F" w:rsidP="003500EB">
      <w:pPr>
        <w:pStyle w:val="ListBullet"/>
        <w:rPr>
          <w:rFonts w:ascii="Arial" w:hAnsi="Arial" w:cs="Arial"/>
          <w:color w:val="000000" w:themeColor="text1"/>
        </w:rPr>
      </w:pPr>
      <w:r>
        <w:rPr>
          <w:rFonts w:ascii="Arial" w:hAnsi="Arial"/>
          <w:color w:val="000000" w:themeColor="text1"/>
        </w:rPr>
        <w:t>Determine preliminary BESS service life.</w:t>
      </w:r>
    </w:p>
    <w:p w14:paraId="0D3A346D" w14:textId="77777777" w:rsidR="00F16671" w:rsidRPr="00F16671" w:rsidRDefault="00F16671" w:rsidP="00F16671">
      <w:pPr>
        <w:pStyle w:val="ListBullet"/>
        <w:rPr>
          <w:rFonts w:ascii="Arial" w:hAnsi="Arial" w:cs="Arial"/>
          <w:color w:val="000000" w:themeColor="text1"/>
        </w:rPr>
      </w:pPr>
      <w:r>
        <w:rPr>
          <w:rFonts w:ascii="Arial" w:hAnsi="Arial"/>
          <w:color w:val="000000" w:themeColor="text1"/>
        </w:rPr>
        <w:t>Evaluate the possibility to use BESS to restart the Power House after grid blackout.</w:t>
      </w:r>
    </w:p>
    <w:p w14:paraId="0CF9E19D" w14:textId="77777777" w:rsidR="00E83E9B" w:rsidRPr="00496D44" w:rsidRDefault="006F6B49" w:rsidP="00467F2F">
      <w:pPr>
        <w:pStyle w:val="Heading3"/>
        <w:jc w:val="both"/>
        <w:rPr>
          <w:rFonts w:ascii="Arial" w:hAnsi="Arial" w:cs="Arial"/>
          <w:color w:val="000000" w:themeColor="text1"/>
        </w:rPr>
      </w:pPr>
      <w:r>
        <w:rPr>
          <w:rFonts w:ascii="Arial" w:hAnsi="Arial"/>
          <w:color w:val="000000" w:themeColor="text1"/>
        </w:rPr>
        <w:t>4.6. Conclusions and recommendations</w:t>
      </w:r>
    </w:p>
    <w:p w14:paraId="6950F75C" w14:textId="77777777" w:rsidR="00E83E9B" w:rsidRPr="00496D44" w:rsidRDefault="00C87826" w:rsidP="003500EB">
      <w:pPr>
        <w:pStyle w:val="ListBullet"/>
        <w:numPr>
          <w:ilvl w:val="0"/>
          <w:numId w:val="14"/>
        </w:numPr>
        <w:jc w:val="both"/>
        <w:rPr>
          <w:rFonts w:ascii="Arial" w:hAnsi="Arial" w:cs="Arial"/>
          <w:color w:val="000000" w:themeColor="text1"/>
        </w:rPr>
      </w:pPr>
      <w:r>
        <w:rPr>
          <w:rFonts w:ascii="Arial" w:hAnsi="Arial"/>
          <w:color w:val="000000" w:themeColor="text1"/>
        </w:rPr>
        <w:t>Summarize the findings of technical and economic analysis.</w:t>
      </w:r>
    </w:p>
    <w:p w14:paraId="622E6E85" w14:textId="77777777" w:rsidR="00E83E9B" w:rsidRPr="00496D44" w:rsidRDefault="00C87826" w:rsidP="003500EB">
      <w:pPr>
        <w:pStyle w:val="ListBullet"/>
        <w:numPr>
          <w:ilvl w:val="0"/>
          <w:numId w:val="14"/>
        </w:numPr>
        <w:jc w:val="both"/>
        <w:rPr>
          <w:rFonts w:ascii="Arial" w:hAnsi="Arial" w:cs="Arial"/>
          <w:color w:val="000000" w:themeColor="text1"/>
        </w:rPr>
      </w:pPr>
      <w:r>
        <w:rPr>
          <w:rFonts w:ascii="Arial" w:hAnsi="Arial"/>
          <w:color w:val="000000" w:themeColor="text1"/>
        </w:rPr>
        <w:t>Present conclusions and recommendations concerning technical feasibility, financial benefit and risks.</w:t>
      </w:r>
    </w:p>
    <w:p w14:paraId="2A52C5F3" w14:textId="77777777" w:rsidR="00E83E9B" w:rsidRPr="00496D44" w:rsidRDefault="00C87826" w:rsidP="003500EB">
      <w:pPr>
        <w:pStyle w:val="ListBullet"/>
        <w:numPr>
          <w:ilvl w:val="0"/>
          <w:numId w:val="14"/>
        </w:numPr>
        <w:jc w:val="both"/>
        <w:rPr>
          <w:rFonts w:ascii="Arial" w:hAnsi="Arial" w:cs="Arial"/>
          <w:color w:val="000000" w:themeColor="text1"/>
        </w:rPr>
      </w:pPr>
      <w:r>
        <w:rPr>
          <w:rFonts w:ascii="Arial" w:hAnsi="Arial"/>
          <w:color w:val="000000" w:themeColor="text1"/>
        </w:rPr>
        <w:t>Present final feasibility study report (PDF) with all attachments.</w:t>
      </w:r>
    </w:p>
    <w:p w14:paraId="4480C8C1" w14:textId="77777777" w:rsidR="00E83E9B" w:rsidRPr="00496D44" w:rsidRDefault="00B340AE" w:rsidP="00467F2F">
      <w:pPr>
        <w:pStyle w:val="Heading2"/>
        <w:jc w:val="both"/>
        <w:rPr>
          <w:rFonts w:ascii="Arial" w:hAnsi="Arial" w:cs="Arial"/>
          <w:color w:val="000000" w:themeColor="text1"/>
          <w:sz w:val="22"/>
          <w:szCs w:val="22"/>
        </w:rPr>
      </w:pPr>
      <w:r>
        <w:rPr>
          <w:rFonts w:ascii="Arial" w:hAnsi="Arial"/>
          <w:color w:val="000000" w:themeColor="text1"/>
          <w:sz w:val="22"/>
        </w:rPr>
        <w:t>5. Additional information</w:t>
      </w:r>
    </w:p>
    <w:p w14:paraId="1BA266E9" w14:textId="6136CF83" w:rsidR="00E83E9B" w:rsidRPr="00496D44" w:rsidRDefault="00782FEF" w:rsidP="003500EB">
      <w:pPr>
        <w:pStyle w:val="ListBullet"/>
        <w:numPr>
          <w:ilvl w:val="0"/>
          <w:numId w:val="14"/>
        </w:numPr>
        <w:jc w:val="both"/>
        <w:rPr>
          <w:rFonts w:ascii="Arial" w:hAnsi="Arial" w:cs="Arial"/>
          <w:color w:val="000000" w:themeColor="text1"/>
        </w:rPr>
      </w:pPr>
      <w:r>
        <w:rPr>
          <w:rFonts w:ascii="Arial" w:hAnsi="Arial"/>
          <w:color w:val="000000" w:themeColor="text1"/>
        </w:rPr>
        <w:t>After contract is signed, feasibility</w:t>
      </w:r>
      <w:r w:rsidR="00FE0C9C">
        <w:rPr>
          <w:rFonts w:ascii="Arial" w:hAnsi="Arial"/>
          <w:color w:val="000000" w:themeColor="text1"/>
        </w:rPr>
        <w:t xml:space="preserve"> study should be completed in </w:t>
      </w:r>
      <w:r w:rsidR="00FE0C9C" w:rsidRPr="009A60B5">
        <w:rPr>
          <w:rFonts w:ascii="Arial" w:hAnsi="Arial"/>
          <w:color w:val="FF0000"/>
        </w:rPr>
        <w:t>20</w:t>
      </w:r>
      <w:r w:rsidRPr="009A60B5">
        <w:rPr>
          <w:rFonts w:ascii="Arial" w:hAnsi="Arial"/>
          <w:color w:val="FF0000"/>
        </w:rPr>
        <w:t xml:space="preserve"> weeks</w:t>
      </w:r>
      <w:r>
        <w:rPr>
          <w:rFonts w:ascii="Arial" w:hAnsi="Arial"/>
          <w:color w:val="000000" w:themeColor="text1"/>
        </w:rPr>
        <w:t>.</w:t>
      </w:r>
    </w:p>
    <w:p w14:paraId="4052C778" w14:textId="77777777" w:rsidR="00782FEF" w:rsidRPr="00496D44" w:rsidRDefault="00782FEF" w:rsidP="003500EB">
      <w:pPr>
        <w:pStyle w:val="ListBullet"/>
        <w:numPr>
          <w:ilvl w:val="0"/>
          <w:numId w:val="14"/>
        </w:numPr>
        <w:jc w:val="both"/>
        <w:rPr>
          <w:rFonts w:ascii="Arial" w:hAnsi="Arial" w:cs="Arial"/>
          <w:color w:val="000000" w:themeColor="text1"/>
        </w:rPr>
      </w:pPr>
      <w:r>
        <w:rPr>
          <w:rFonts w:ascii="Arial" w:hAnsi="Arial"/>
          <w:color w:val="000000" w:themeColor="text1"/>
        </w:rPr>
        <w:t>Contractor shall present a detailed feasibility study execution schedule.</w:t>
      </w:r>
    </w:p>
    <w:p w14:paraId="42BB23BB" w14:textId="77777777" w:rsidR="00AE0CE1" w:rsidRPr="00496D44" w:rsidRDefault="00AE0CE1" w:rsidP="003500EB">
      <w:pPr>
        <w:pStyle w:val="ListBullet"/>
        <w:numPr>
          <w:ilvl w:val="0"/>
          <w:numId w:val="14"/>
        </w:numPr>
        <w:jc w:val="both"/>
        <w:rPr>
          <w:rFonts w:ascii="Arial" w:hAnsi="Arial" w:cs="Arial"/>
          <w:color w:val="000000" w:themeColor="text1"/>
        </w:rPr>
      </w:pPr>
      <w:r>
        <w:rPr>
          <w:rFonts w:ascii="Arial" w:hAnsi="Arial"/>
          <w:color w:val="000000" w:themeColor="text1"/>
        </w:rPr>
        <w:t>The Contractor shall present a list of information/data required for the study (in XLSX format);</w:t>
      </w:r>
    </w:p>
    <w:p w14:paraId="20568E4F" w14:textId="77777777" w:rsidR="00E83E9B" w:rsidRPr="00496D44" w:rsidRDefault="00C87826" w:rsidP="003500EB">
      <w:pPr>
        <w:pStyle w:val="ListBullet"/>
        <w:numPr>
          <w:ilvl w:val="0"/>
          <w:numId w:val="14"/>
        </w:numPr>
        <w:jc w:val="both"/>
        <w:rPr>
          <w:rFonts w:ascii="Arial" w:hAnsi="Arial" w:cs="Arial"/>
          <w:color w:val="000000" w:themeColor="text1"/>
        </w:rPr>
      </w:pPr>
      <w:r>
        <w:rPr>
          <w:rFonts w:ascii="Arial" w:hAnsi="Arial"/>
          <w:color w:val="000000" w:themeColor="text1"/>
        </w:rPr>
        <w:t xml:space="preserve">The results shall be presented in Lithuanian language: signed feasibility study report (in PDF format), attachments in PDF format and editable native formats such as DOC, XLSX, DWG, etc. </w:t>
      </w:r>
    </w:p>
    <w:sectPr w:rsidR="00E83E9B" w:rsidRPr="00496D44" w:rsidSect="00496D44">
      <w:pgSz w:w="12240" w:h="15840"/>
      <w:pgMar w:top="1440" w:right="1588" w:bottom="14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2B6B91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53B1CE6"/>
    <w:multiLevelType w:val="hybridMultilevel"/>
    <w:tmpl w:val="E1CCF4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EF523D"/>
    <w:multiLevelType w:val="hybridMultilevel"/>
    <w:tmpl w:val="2D9056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F1147D"/>
    <w:multiLevelType w:val="hybridMultilevel"/>
    <w:tmpl w:val="633A100E"/>
    <w:lvl w:ilvl="0" w:tplc="29761A62">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5300614"/>
    <w:multiLevelType w:val="hybridMultilevel"/>
    <w:tmpl w:val="3AC284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0518A"/>
    <w:multiLevelType w:val="hybridMultilevel"/>
    <w:tmpl w:val="2D9056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9453581">
    <w:abstractNumId w:val="8"/>
  </w:num>
  <w:num w:numId="2" w16cid:durableId="1625310438">
    <w:abstractNumId w:val="6"/>
  </w:num>
  <w:num w:numId="3" w16cid:durableId="1715496874">
    <w:abstractNumId w:val="5"/>
  </w:num>
  <w:num w:numId="4" w16cid:durableId="438716318">
    <w:abstractNumId w:val="4"/>
  </w:num>
  <w:num w:numId="5" w16cid:durableId="1697385517">
    <w:abstractNumId w:val="7"/>
  </w:num>
  <w:num w:numId="6" w16cid:durableId="1562523530">
    <w:abstractNumId w:val="3"/>
  </w:num>
  <w:num w:numId="7" w16cid:durableId="2110739184">
    <w:abstractNumId w:val="2"/>
  </w:num>
  <w:num w:numId="8" w16cid:durableId="646663067">
    <w:abstractNumId w:val="1"/>
  </w:num>
  <w:num w:numId="9" w16cid:durableId="140580011">
    <w:abstractNumId w:val="0"/>
  </w:num>
  <w:num w:numId="10" w16cid:durableId="1911764321">
    <w:abstractNumId w:val="12"/>
  </w:num>
  <w:num w:numId="11" w16cid:durableId="475684219">
    <w:abstractNumId w:val="9"/>
  </w:num>
  <w:num w:numId="12" w16cid:durableId="1135371754">
    <w:abstractNumId w:val="13"/>
  </w:num>
  <w:num w:numId="13" w16cid:durableId="333454534">
    <w:abstractNumId w:val="10"/>
  </w:num>
  <w:num w:numId="14" w16cid:durableId="1633512131">
    <w:abstractNumId w:val="11"/>
  </w:num>
  <w:num w:numId="15" w16cid:durableId="15582808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659F"/>
    <w:rsid w:val="00012AC0"/>
    <w:rsid w:val="00021482"/>
    <w:rsid w:val="0002533A"/>
    <w:rsid w:val="0002688D"/>
    <w:rsid w:val="00034616"/>
    <w:rsid w:val="000434BA"/>
    <w:rsid w:val="00050B49"/>
    <w:rsid w:val="0006063C"/>
    <w:rsid w:val="00077B66"/>
    <w:rsid w:val="000B5358"/>
    <w:rsid w:val="000D0144"/>
    <w:rsid w:val="00145FFD"/>
    <w:rsid w:val="0015074B"/>
    <w:rsid w:val="0015242A"/>
    <w:rsid w:val="001B4D8C"/>
    <w:rsid w:val="00207436"/>
    <w:rsid w:val="00277943"/>
    <w:rsid w:val="0029639D"/>
    <w:rsid w:val="0030771C"/>
    <w:rsid w:val="00326F90"/>
    <w:rsid w:val="003500EB"/>
    <w:rsid w:val="00364267"/>
    <w:rsid w:val="00386210"/>
    <w:rsid w:val="00421D82"/>
    <w:rsid w:val="004377C6"/>
    <w:rsid w:val="00467F2F"/>
    <w:rsid w:val="00483D2D"/>
    <w:rsid w:val="00496D44"/>
    <w:rsid w:val="004F41B7"/>
    <w:rsid w:val="00511BFA"/>
    <w:rsid w:val="005428B4"/>
    <w:rsid w:val="005522F0"/>
    <w:rsid w:val="00561A11"/>
    <w:rsid w:val="00570A5A"/>
    <w:rsid w:val="0058250A"/>
    <w:rsid w:val="00585471"/>
    <w:rsid w:val="00647AA5"/>
    <w:rsid w:val="006A5EA6"/>
    <w:rsid w:val="006A6171"/>
    <w:rsid w:val="006B7E80"/>
    <w:rsid w:val="006D5554"/>
    <w:rsid w:val="006F6B49"/>
    <w:rsid w:val="00706F57"/>
    <w:rsid w:val="007163B2"/>
    <w:rsid w:val="00721956"/>
    <w:rsid w:val="00737F16"/>
    <w:rsid w:val="00747524"/>
    <w:rsid w:val="00764658"/>
    <w:rsid w:val="00773505"/>
    <w:rsid w:val="00782FEF"/>
    <w:rsid w:val="007D0236"/>
    <w:rsid w:val="007E062E"/>
    <w:rsid w:val="007E3461"/>
    <w:rsid w:val="007E6647"/>
    <w:rsid w:val="00825EB0"/>
    <w:rsid w:val="0088256A"/>
    <w:rsid w:val="008B5A62"/>
    <w:rsid w:val="008D4733"/>
    <w:rsid w:val="008E62CF"/>
    <w:rsid w:val="008F58D1"/>
    <w:rsid w:val="0090011B"/>
    <w:rsid w:val="00904FE1"/>
    <w:rsid w:val="00917E7F"/>
    <w:rsid w:val="00983B4A"/>
    <w:rsid w:val="009A60B5"/>
    <w:rsid w:val="009C2A41"/>
    <w:rsid w:val="009D5FD7"/>
    <w:rsid w:val="009E3760"/>
    <w:rsid w:val="009F0DCD"/>
    <w:rsid w:val="00AA1D8D"/>
    <w:rsid w:val="00AB5C78"/>
    <w:rsid w:val="00AE0CE1"/>
    <w:rsid w:val="00B030C7"/>
    <w:rsid w:val="00B32EF8"/>
    <w:rsid w:val="00B340AE"/>
    <w:rsid w:val="00B47730"/>
    <w:rsid w:val="00B73810"/>
    <w:rsid w:val="00BD7B80"/>
    <w:rsid w:val="00BF58D0"/>
    <w:rsid w:val="00C10BF2"/>
    <w:rsid w:val="00C21A2E"/>
    <w:rsid w:val="00C274E2"/>
    <w:rsid w:val="00C4258A"/>
    <w:rsid w:val="00C55C45"/>
    <w:rsid w:val="00C64B8E"/>
    <w:rsid w:val="00C87826"/>
    <w:rsid w:val="00CB0664"/>
    <w:rsid w:val="00CB1A1F"/>
    <w:rsid w:val="00CC3574"/>
    <w:rsid w:val="00D017B9"/>
    <w:rsid w:val="00D03D4D"/>
    <w:rsid w:val="00D17685"/>
    <w:rsid w:val="00D33CDC"/>
    <w:rsid w:val="00D8042E"/>
    <w:rsid w:val="00D9722F"/>
    <w:rsid w:val="00DB59C6"/>
    <w:rsid w:val="00E162C6"/>
    <w:rsid w:val="00E4675E"/>
    <w:rsid w:val="00E73BCC"/>
    <w:rsid w:val="00E83E9B"/>
    <w:rsid w:val="00E9247D"/>
    <w:rsid w:val="00EF1BCE"/>
    <w:rsid w:val="00F10F7D"/>
    <w:rsid w:val="00F16671"/>
    <w:rsid w:val="00F174C9"/>
    <w:rsid w:val="00F264A3"/>
    <w:rsid w:val="00F96EC8"/>
    <w:rsid w:val="00FA02E7"/>
    <w:rsid w:val="00FC693F"/>
    <w:rsid w:val="00FE0C9C"/>
    <w:rsid w:val="00FE66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AF69E2"/>
  <w14:defaultImageDpi w14:val="300"/>
  <w15:docId w15:val="{4D7A9F65-2812-4AFF-A341-A892A31D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825EB0"/>
    <w:rPr>
      <w:sz w:val="16"/>
      <w:szCs w:val="16"/>
    </w:rPr>
  </w:style>
  <w:style w:type="paragraph" w:styleId="CommentText">
    <w:name w:val="annotation text"/>
    <w:basedOn w:val="Normal"/>
    <w:link w:val="CommentTextChar"/>
    <w:uiPriority w:val="99"/>
    <w:semiHidden/>
    <w:unhideWhenUsed/>
    <w:rsid w:val="00825EB0"/>
    <w:pPr>
      <w:spacing w:line="240" w:lineRule="auto"/>
    </w:pPr>
    <w:rPr>
      <w:sz w:val="20"/>
      <w:szCs w:val="20"/>
    </w:rPr>
  </w:style>
  <w:style w:type="character" w:customStyle="1" w:styleId="CommentTextChar">
    <w:name w:val="Comment Text Char"/>
    <w:basedOn w:val="DefaultParagraphFont"/>
    <w:link w:val="CommentText"/>
    <w:uiPriority w:val="99"/>
    <w:semiHidden/>
    <w:rsid w:val="00825EB0"/>
    <w:rPr>
      <w:sz w:val="20"/>
      <w:szCs w:val="20"/>
    </w:rPr>
  </w:style>
  <w:style w:type="paragraph" w:styleId="CommentSubject">
    <w:name w:val="annotation subject"/>
    <w:basedOn w:val="CommentText"/>
    <w:next w:val="CommentText"/>
    <w:link w:val="CommentSubjectChar"/>
    <w:uiPriority w:val="99"/>
    <w:semiHidden/>
    <w:unhideWhenUsed/>
    <w:rsid w:val="00825EB0"/>
    <w:rPr>
      <w:b/>
      <w:bCs/>
    </w:rPr>
  </w:style>
  <w:style w:type="character" w:customStyle="1" w:styleId="CommentSubjectChar">
    <w:name w:val="Comment Subject Char"/>
    <w:basedOn w:val="CommentTextChar"/>
    <w:link w:val="CommentSubject"/>
    <w:uiPriority w:val="99"/>
    <w:semiHidden/>
    <w:rsid w:val="00825EB0"/>
    <w:rPr>
      <w:b/>
      <w:bCs/>
      <w:sz w:val="20"/>
      <w:szCs w:val="20"/>
    </w:rPr>
  </w:style>
  <w:style w:type="paragraph" w:styleId="BalloonText">
    <w:name w:val="Balloon Text"/>
    <w:basedOn w:val="Normal"/>
    <w:link w:val="BalloonTextChar"/>
    <w:uiPriority w:val="99"/>
    <w:semiHidden/>
    <w:unhideWhenUsed/>
    <w:rsid w:val="00825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EB0"/>
    <w:rPr>
      <w:rFonts w:ascii="Segoe UI" w:hAnsi="Segoe UI" w:cs="Segoe UI"/>
      <w:sz w:val="18"/>
      <w:szCs w:val="18"/>
    </w:rPr>
  </w:style>
  <w:style w:type="paragraph" w:styleId="Revision">
    <w:name w:val="Revision"/>
    <w:hidden/>
    <w:uiPriority w:val="99"/>
    <w:semiHidden/>
    <w:rsid w:val="00F166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4A185-B92F-403D-AEE3-C0B69B3A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3848</Words>
  <Characters>2194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Černauskaitė Aistė (OLT)</cp:lastModifiedBy>
  <cp:revision>10</cp:revision>
  <dcterms:created xsi:type="dcterms:W3CDTF">2026-02-23T06:14:00Z</dcterms:created>
  <dcterms:modified xsi:type="dcterms:W3CDTF">2026-03-19T13:30:00Z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2026-02-23T06:14:31Z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e5d5841f-04cd-4361-89c1-eac160129aa2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